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109D3" w14:textId="42CC12C1" w:rsidR="00B321C6" w:rsidRPr="001A3C94" w:rsidRDefault="00AC6569" w:rsidP="001A3C94">
      <w:pPr>
        <w:spacing w:line="360" w:lineRule="auto"/>
        <w:jc w:val="both"/>
        <w:rPr>
          <w:sz w:val="24"/>
          <w:szCs w:val="24"/>
        </w:rPr>
      </w:pPr>
      <w:r w:rsidRPr="00AC6569">
        <w:rPr>
          <w:b/>
          <w:sz w:val="24"/>
          <w:szCs w:val="24"/>
        </w:rPr>
        <w:t>ALEKSANDRA KOSIOR</w:t>
      </w:r>
      <w:r w:rsidRP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– doktor</w:t>
      </w:r>
      <w:r w:rsidR="00C96F71">
        <w:rPr>
          <w:sz w:val="24"/>
          <w:szCs w:val="24"/>
        </w:rPr>
        <w:t>ka</w:t>
      </w:r>
      <w:bookmarkStart w:id="0" w:name="_GoBack"/>
      <w:bookmarkEnd w:id="0"/>
      <w:r w:rsidR="001A3C94" w:rsidRPr="001A3C94">
        <w:rPr>
          <w:sz w:val="24"/>
          <w:szCs w:val="24"/>
        </w:rPr>
        <w:t xml:space="preserve"> nauk humanistycznych, adiunktka w Instytucie Kulturoznawstwa Uniwersytetu im. Adama Mickiewicza w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Poznaniu. Jako kulturoznawczyni zafascynowana rozwojem technologiczno-naukowym i jego wpływem na rzeczywistość społeczną, swoją rozprawę doktorską poświęciła tematowi prywatności w świecie nowych technologii. Praca otrzymała wyróżnienie w XIV edycji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konkursu Narodowego Centrum Kultury na najlepszą pracę doktorską z dziedzin nauk o kulturze. W roku 2021 została wydana pod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tytułem „Prywatność w świecie nowych technologii. Asymetria przejrzystości” nakładem Wydawnictwa Universitas. Obecnie w swojej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pracy badawczej koncentruje się na zagadnieniach związanych z nowymi technologiami i kulturą: rozwojem sztucznej inteligencji, refleksji nad przestrzeniami technologicznie nasyconymi, edukacją w zakresie nowych technologii oraz nowymi formami badania kultury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– np. poprzez sztukę. Jest członkinią Centrum Badawczego HAT (Humanities/Art./Technology), Regionalnego Obserwatorium Kultury (ROK UAM), Polskiego Towarzystwa Edukacji Medialnej, a także międzynarodowej sieci eksperckiej ENCATC. W roku 2024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 xml:space="preserve">współorganizowała </w:t>
      </w:r>
      <w:r>
        <w:rPr>
          <w:sz w:val="24"/>
          <w:szCs w:val="24"/>
        </w:rPr>
        <w:t>„</w:t>
      </w:r>
      <w:r w:rsidR="001A3C94" w:rsidRPr="001A3C94">
        <w:rPr>
          <w:sz w:val="24"/>
          <w:szCs w:val="24"/>
        </w:rPr>
        <w:t>Forum AI. Kultura. Przemysł. Edukacja</w:t>
      </w:r>
      <w:r>
        <w:rPr>
          <w:sz w:val="24"/>
          <w:szCs w:val="24"/>
        </w:rPr>
        <w:t>”</w:t>
      </w:r>
      <w:r w:rsidR="001A3C94" w:rsidRPr="001A3C94">
        <w:rPr>
          <w:sz w:val="24"/>
          <w:szCs w:val="24"/>
        </w:rPr>
        <w:t>. Współredagowała także numer tematyczny kwartalnika „Kultura</w:t>
      </w:r>
      <w:r w:rsidR="001A3C94">
        <w:rPr>
          <w:sz w:val="24"/>
          <w:szCs w:val="24"/>
        </w:rPr>
        <w:t xml:space="preserve"> </w:t>
      </w:r>
      <w:r w:rsidR="001A3C94" w:rsidRPr="001A3C94">
        <w:rPr>
          <w:sz w:val="24"/>
          <w:szCs w:val="24"/>
        </w:rPr>
        <w:t>Współczesna” poświęcony sztucznej inteligencji</w:t>
      </w:r>
      <w:r w:rsidR="001A3C94">
        <w:rPr>
          <w:sz w:val="24"/>
          <w:szCs w:val="24"/>
        </w:rPr>
        <w:t>.</w:t>
      </w:r>
    </w:p>
    <w:sectPr w:rsidR="00B321C6" w:rsidRPr="001A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94"/>
    <w:rsid w:val="001A3C94"/>
    <w:rsid w:val="00AC6569"/>
    <w:rsid w:val="00B321C6"/>
    <w:rsid w:val="00C9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FA3F2"/>
  <w15:chartTrackingRefBased/>
  <w15:docId w15:val="{BB5C177D-2A10-4C51-8F55-410A069A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C65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5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65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5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5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6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5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</dc:creator>
  <cp:keywords/>
  <dc:description/>
  <cp:lastModifiedBy>Jadwiga</cp:lastModifiedBy>
  <cp:revision>3</cp:revision>
  <dcterms:created xsi:type="dcterms:W3CDTF">2026-01-15T12:24:00Z</dcterms:created>
  <dcterms:modified xsi:type="dcterms:W3CDTF">2026-02-05T14:35:00Z</dcterms:modified>
</cp:coreProperties>
</file>